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Style w:val="5"/>
          <w:rFonts w:hint="eastAsia" w:ascii="方正小标宋简体" w:hAnsi="方正小标宋简体" w:eastAsia="方正小标宋简体" w:cs="方正小标宋简体"/>
          <w:b w:val="0"/>
          <w:bCs w:val="0"/>
          <w:sz w:val="44"/>
          <w:szCs w:val="44"/>
          <w:lang w:eastAsia="zh-CN"/>
        </w:rPr>
        <w:t>《</w:t>
      </w:r>
      <w:r>
        <w:rPr>
          <w:rStyle w:val="5"/>
          <w:rFonts w:hint="eastAsia" w:ascii="方正小标宋简体" w:hAnsi="方正小标宋简体" w:eastAsia="方正小标宋简体" w:cs="方正小标宋简体"/>
          <w:b w:val="0"/>
          <w:bCs w:val="0"/>
          <w:sz w:val="44"/>
          <w:szCs w:val="44"/>
        </w:rPr>
        <w:t>郑州市食盐储备管理办法</w:t>
      </w:r>
      <w:r>
        <w:rPr>
          <w:rStyle w:val="5"/>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征求意见稿</w:t>
      </w:r>
      <w:r>
        <w:rPr>
          <w:rStyle w:val="5"/>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eastAsia="zh-CN"/>
        </w:rPr>
        <w:t>的起草说明</w:t>
      </w:r>
    </w:p>
    <w:p>
      <w:pPr>
        <w:wordWrap/>
        <w:adjustRightInd/>
        <w:snapToGrid/>
        <w:spacing w:before="0" w:after="0" w:line="560" w:lineRule="exact"/>
        <w:ind w:left="0" w:leftChars="0" w:right="0"/>
        <w:jc w:val="left"/>
        <w:textAlignment w:val="auto"/>
        <w:outlineLvl w:val="9"/>
        <w:rPr>
          <w:rFonts w:hint="eastAsia" w:ascii="仿宋_GB2312" w:hAnsi="仿宋_GB2312" w:eastAsia="仿宋_GB2312" w:cs="仿宋_GB2312"/>
          <w:b w:val="0"/>
          <w:bCs w:val="0"/>
          <w:color w:val="auto"/>
          <w:sz w:val="32"/>
          <w:szCs w:val="32"/>
          <w:u w:val="none"/>
          <w:lang w:eastAsia="zh-CN"/>
        </w:rPr>
      </w:pP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一、起草背景</w:t>
      </w:r>
    </w:p>
    <w:p>
      <w:pPr>
        <w:widowControl w:val="0"/>
        <w:wordWrap/>
        <w:adjustRightInd/>
        <w:snapToGrid w:val="0"/>
        <w:spacing w:before="0" w:after="0" w:line="56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sz w:val="32"/>
          <w:szCs w:val="32"/>
          <w:u w:val="none"/>
          <w:lang w:val="en-US" w:eastAsia="zh-CN"/>
        </w:rPr>
      </w:pPr>
      <w:r>
        <w:rPr>
          <w:rFonts w:hint="eastAsia" w:ascii="华文仿宋" w:hAnsi="华文仿宋" w:eastAsia="华文仿宋" w:cs="华文仿宋"/>
          <w:sz w:val="32"/>
          <w:szCs w:val="32"/>
          <w:lang w:val="en-US" w:eastAsia="zh-CN"/>
        </w:rPr>
        <w:t>2019年，市政府办公厅印发了</w:t>
      </w:r>
      <w:r>
        <w:rPr>
          <w:rFonts w:hint="eastAsia" w:ascii="仿宋" w:hAnsi="仿宋" w:eastAsia="仿宋"/>
          <w:sz w:val="32"/>
          <w:szCs w:val="32"/>
        </w:rPr>
        <w:t>《郑州市食盐储备管理办法》（</w:t>
      </w:r>
      <w:r>
        <w:rPr>
          <w:rFonts w:hint="eastAsia" w:ascii="仿宋_GB2312" w:hAnsi="宋体" w:eastAsia="仿宋_GB2312"/>
          <w:sz w:val="32"/>
          <w:szCs w:val="32"/>
        </w:rPr>
        <w:t>郑政办〔2019〕52号</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2020年市政府进行机构改革，</w:t>
      </w:r>
      <w:r>
        <w:rPr>
          <w:rFonts w:hint="eastAsia" w:ascii="仿宋" w:hAnsi="仿宋" w:eastAsia="仿宋"/>
          <w:sz w:val="32"/>
          <w:szCs w:val="32"/>
          <w:lang w:eastAsia="zh-CN"/>
        </w:rPr>
        <w:t>市盐业局撤销，</w:t>
      </w:r>
      <w:r>
        <w:rPr>
          <w:rFonts w:hint="eastAsia" w:ascii="仿宋" w:hAnsi="仿宋" w:eastAsia="仿宋"/>
          <w:sz w:val="32"/>
          <w:szCs w:val="32"/>
        </w:rPr>
        <w:t>盐业行业行政主管</w:t>
      </w:r>
      <w:r>
        <w:rPr>
          <w:rFonts w:hint="eastAsia" w:ascii="仿宋" w:hAnsi="仿宋" w:eastAsia="仿宋"/>
          <w:sz w:val="32"/>
          <w:szCs w:val="32"/>
          <w:lang w:eastAsia="zh-CN"/>
        </w:rPr>
        <w:t>职能划归市工信局。根据</w:t>
      </w:r>
      <w:r>
        <w:rPr>
          <w:rFonts w:hint="eastAsia" w:ascii="仿宋" w:hAnsi="仿宋" w:eastAsia="仿宋"/>
          <w:sz w:val="32"/>
          <w:szCs w:val="32"/>
        </w:rPr>
        <w:t>《郑州市人民政府关于盐业体制改革有关问题的会议纪要》</w:t>
      </w:r>
      <w:r>
        <w:rPr>
          <w:rFonts w:hint="eastAsia" w:ascii="仿宋" w:hAnsi="仿宋" w:eastAsia="仿宋"/>
          <w:sz w:val="32"/>
          <w:szCs w:val="32"/>
          <w:lang w:eastAsia="zh-CN"/>
        </w:rPr>
        <w:t>（</w:t>
      </w:r>
      <w:r>
        <w:rPr>
          <w:rFonts w:hint="eastAsia" w:ascii="仿宋" w:hAnsi="仿宋" w:eastAsia="仿宋"/>
          <w:sz w:val="32"/>
          <w:szCs w:val="32"/>
        </w:rPr>
        <w:t>郑州市人民政府市长办公会议纪要</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 w:hAnsi="仿宋" w:eastAsia="仿宋"/>
          <w:sz w:val="32"/>
          <w:szCs w:val="32"/>
        </w:rPr>
        <w:t>23号</w:t>
      </w:r>
      <w:r>
        <w:rPr>
          <w:rFonts w:hint="eastAsia" w:ascii="仿宋" w:hAnsi="仿宋" w:eastAsia="仿宋"/>
          <w:sz w:val="32"/>
          <w:szCs w:val="32"/>
          <w:lang w:eastAsia="zh-CN"/>
        </w:rPr>
        <w:t>）精神，明确市工信局承担食盐储备的管理职能、确保我市食盐市场供应稳定，因此食品办对原《</w:t>
      </w:r>
      <w:r>
        <w:rPr>
          <w:rFonts w:hint="eastAsia" w:ascii="仿宋" w:hAnsi="仿宋" w:eastAsia="仿宋"/>
          <w:sz w:val="32"/>
          <w:szCs w:val="32"/>
        </w:rPr>
        <w:t>郑州市食盐储备管理办法</w:t>
      </w:r>
      <w:r>
        <w:rPr>
          <w:rFonts w:hint="eastAsia" w:ascii="仿宋" w:hAnsi="仿宋" w:eastAsia="仿宋"/>
          <w:sz w:val="32"/>
          <w:szCs w:val="32"/>
          <w:lang w:eastAsia="zh-CN"/>
        </w:rPr>
        <w:t>》（以下简称“《管理办法》”）进行了修订，对企业储备和相关日常工作方面的内容进行了删减、合并，对市级储备规模进行了论证，形成了</w:t>
      </w:r>
      <w:r>
        <w:rPr>
          <w:rStyle w:val="5"/>
          <w:rFonts w:hint="eastAsia" w:ascii="仿宋" w:hAnsi="仿宋" w:eastAsia="仿宋" w:cs="仿宋"/>
          <w:b w:val="0"/>
          <w:bCs w:val="0"/>
          <w:sz w:val="32"/>
          <w:szCs w:val="32"/>
          <w:lang w:eastAsia="zh-CN"/>
        </w:rPr>
        <w:t>《管理办法》</w:t>
      </w:r>
      <w:r>
        <w:rPr>
          <w:rFonts w:hint="eastAsia" w:ascii="仿宋_GB2312" w:hAnsi="仿宋_GB2312" w:eastAsia="仿宋_GB2312" w:cs="仿宋_GB2312"/>
          <w:color w:val="auto"/>
          <w:sz w:val="32"/>
          <w:szCs w:val="32"/>
          <w:lang w:eastAsia="zh-CN"/>
        </w:rPr>
        <w:t>（征求意见稿）。</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二、起草依据</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 w:eastAsia="仿宋_GB2312"/>
          <w:sz w:val="32"/>
          <w:szCs w:val="32"/>
          <w:u w:val="none"/>
        </w:rPr>
      </w:pPr>
      <w:r>
        <w:rPr>
          <w:rFonts w:hint="default" w:ascii="仿宋_GB2312" w:hAnsi="仿宋_GB2312" w:eastAsia="仿宋_GB2312" w:cs="仿宋_GB2312"/>
          <w:sz w:val="32"/>
          <w:szCs w:val="32"/>
        </w:rPr>
        <w:t>1.</w:t>
      </w:r>
      <w:r>
        <w:rPr>
          <w:rFonts w:hint="eastAsia" w:ascii="仿宋_GB2312" w:hAnsi="仿宋" w:eastAsia="仿宋_GB2312"/>
          <w:sz w:val="32"/>
          <w:szCs w:val="32"/>
          <w:u w:val="none"/>
        </w:rPr>
        <w:t>《国务院关于印发盐业体制改革方案的通知》（国发</w:t>
      </w:r>
      <w:r>
        <w:rPr>
          <w:rFonts w:hint="eastAsia" w:ascii="微软雅黑" w:hAnsi="微软雅黑" w:eastAsia="微软雅黑"/>
          <w:sz w:val="32"/>
          <w:szCs w:val="32"/>
          <w:u w:val="none"/>
        </w:rPr>
        <w:t>〔</w:t>
      </w:r>
      <w:r>
        <w:rPr>
          <w:rFonts w:hint="eastAsia" w:ascii="仿宋_GB2312" w:hAnsi="仿宋" w:eastAsia="仿宋_GB2312"/>
          <w:sz w:val="32"/>
          <w:szCs w:val="32"/>
          <w:u w:val="none"/>
        </w:rPr>
        <w:t>2016</w:t>
      </w:r>
      <w:r>
        <w:rPr>
          <w:rFonts w:hint="eastAsia" w:ascii="微软雅黑" w:hAnsi="微软雅黑" w:eastAsia="微软雅黑"/>
          <w:sz w:val="32"/>
          <w:szCs w:val="32"/>
          <w:u w:val="none"/>
        </w:rPr>
        <w:t>〕</w:t>
      </w:r>
      <w:r>
        <w:rPr>
          <w:rFonts w:hint="eastAsia" w:ascii="仿宋_GB2312" w:hAnsi="仿宋" w:eastAsia="仿宋_GB2312"/>
          <w:sz w:val="32"/>
          <w:szCs w:val="32"/>
          <w:u w:val="none"/>
        </w:rPr>
        <w:t>25号）</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lang w:val="en-US" w:eastAsia="zh-CN"/>
        </w:rPr>
        <w:t>2.</w:t>
      </w:r>
      <w:r>
        <w:rPr>
          <w:rFonts w:hint="eastAsia" w:ascii="仿宋_GB2312" w:hAnsi="仿宋" w:eastAsia="仿宋_GB2312"/>
          <w:sz w:val="32"/>
          <w:szCs w:val="32"/>
          <w:u w:val="none"/>
        </w:rPr>
        <w:t>《食盐专营办法》（</w:t>
      </w:r>
      <w:r>
        <w:rPr>
          <w:rFonts w:hint="eastAsia" w:ascii="仿宋_GB2312" w:hAnsi="仿宋" w:eastAsia="仿宋_GB2312"/>
          <w:sz w:val="32"/>
          <w:szCs w:val="32"/>
          <w:highlight w:val="none"/>
          <w:u w:val="none"/>
          <w:lang w:eastAsia="zh-CN"/>
        </w:rPr>
        <w:t>国务院</w:t>
      </w:r>
      <w:r>
        <w:rPr>
          <w:rFonts w:hint="eastAsia" w:ascii="仿宋_GB2312" w:hAnsi="仿宋" w:eastAsia="仿宋_GB2312"/>
          <w:sz w:val="32"/>
          <w:szCs w:val="32"/>
          <w:highlight w:val="none"/>
          <w:u w:val="none"/>
        </w:rPr>
        <w:t>令第696号</w:t>
      </w:r>
      <w:r>
        <w:rPr>
          <w:rFonts w:hint="eastAsia" w:ascii="仿宋_GB2312" w:hAnsi="仿宋" w:eastAsia="仿宋_GB2312"/>
          <w:sz w:val="32"/>
          <w:szCs w:val="32"/>
          <w:u w:val="none"/>
        </w:rPr>
        <w:t>）</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 w:eastAsia="仿宋_GB2312"/>
          <w:sz w:val="32"/>
          <w:szCs w:val="32"/>
          <w:u w:val="none"/>
        </w:rPr>
      </w:pPr>
      <w:r>
        <w:rPr>
          <w:rFonts w:hint="eastAsia" w:ascii="仿宋_GB2312" w:hAnsi="仿宋" w:eastAsia="仿宋_GB2312"/>
          <w:sz w:val="32"/>
          <w:szCs w:val="32"/>
          <w:u w:val="none"/>
          <w:lang w:val="en-US" w:eastAsia="zh-CN"/>
        </w:rPr>
        <w:t>3.</w:t>
      </w:r>
      <w:r>
        <w:rPr>
          <w:rFonts w:hint="eastAsia" w:ascii="仿宋_GB2312" w:hAnsi="仿宋" w:eastAsia="仿宋_GB2312"/>
          <w:sz w:val="32"/>
          <w:szCs w:val="32"/>
          <w:u w:val="none"/>
        </w:rPr>
        <w:t>《河南省人民政府关于印发河南省盐业体制改革实施方案的通知》（豫政</w:t>
      </w:r>
      <w:r>
        <w:rPr>
          <w:rFonts w:hint="eastAsia" w:ascii="微软雅黑" w:hAnsi="微软雅黑" w:eastAsia="微软雅黑"/>
          <w:sz w:val="32"/>
          <w:szCs w:val="32"/>
          <w:u w:val="none"/>
        </w:rPr>
        <w:t>〔</w:t>
      </w:r>
      <w:r>
        <w:rPr>
          <w:rFonts w:hint="eastAsia" w:ascii="仿宋_GB2312" w:hAnsi="仿宋" w:eastAsia="仿宋_GB2312"/>
          <w:sz w:val="32"/>
          <w:szCs w:val="32"/>
          <w:u w:val="none"/>
        </w:rPr>
        <w:t>2016</w:t>
      </w:r>
      <w:r>
        <w:rPr>
          <w:rFonts w:hint="eastAsia" w:ascii="微软雅黑" w:hAnsi="微软雅黑" w:eastAsia="微软雅黑"/>
          <w:sz w:val="32"/>
          <w:szCs w:val="32"/>
          <w:u w:val="none"/>
        </w:rPr>
        <w:t>〕</w:t>
      </w:r>
      <w:r>
        <w:rPr>
          <w:rFonts w:hint="eastAsia" w:ascii="仿宋_GB2312" w:hAnsi="仿宋" w:eastAsia="仿宋_GB2312"/>
          <w:sz w:val="32"/>
          <w:szCs w:val="32"/>
          <w:u w:val="none"/>
        </w:rPr>
        <w:t>84号）</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 w:eastAsia="仿宋_GB2312"/>
          <w:sz w:val="32"/>
          <w:szCs w:val="32"/>
          <w:u w:val="none"/>
          <w:lang w:val="en-US" w:eastAsia="zh-CN"/>
        </w:rPr>
        <w:t>4.</w:t>
      </w:r>
      <w:r>
        <w:rPr>
          <w:rFonts w:hint="eastAsia" w:ascii="仿宋" w:hAnsi="仿宋" w:eastAsia="仿宋"/>
          <w:sz w:val="32"/>
          <w:szCs w:val="32"/>
          <w:u w:val="none"/>
        </w:rPr>
        <w:t>《国家发展改革委办公厅等关于深化盐业体制改革完善食盐专营管理和专业化监管工作的通知》（发改办体改〔2021〕783号）</w:t>
      </w:r>
    </w:p>
    <w:p>
      <w:pPr>
        <w:pStyle w:val="3"/>
        <w:widowControl w:val="0"/>
        <w:wordWrap/>
        <w:snapToGrid w:val="0"/>
        <w:spacing w:before="0" w:after="0" w:line="560" w:lineRule="exact"/>
        <w:ind w:left="0" w:leftChars="0" w:right="0" w:firstLine="640" w:firstLineChars="0"/>
        <w:jc w:val="both"/>
        <w:textAlignment w:val="auto"/>
        <w:outlineLvl w:val="9"/>
        <w:rPr>
          <w:rFonts w:hint="eastAsia"/>
          <w:lang w:val="en-US" w:eastAsia="zh-CN"/>
        </w:rPr>
      </w:pPr>
      <w:r>
        <w:rPr>
          <w:rFonts w:hint="eastAsia" w:ascii="黑体" w:hAnsi="黑体" w:eastAsia="黑体" w:cs="黑体"/>
          <w:b w:val="0"/>
          <w:bCs w:val="0"/>
          <w:color w:val="auto"/>
          <w:kern w:val="2"/>
          <w:sz w:val="32"/>
          <w:szCs w:val="32"/>
          <w:u w:val="none"/>
          <w:lang w:val="en-US" w:eastAsia="zh-CN" w:bidi="ar-SA"/>
        </w:rPr>
        <w:t>三、起草过程</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default" w:ascii="仿宋_GB2312" w:hAnsi="仿宋_GB2312" w:eastAsia="仿宋_GB2312" w:cs="仿宋_GB2312"/>
          <w:i w:val="0"/>
          <w:caps w:val="0"/>
          <w:color w:val="000000"/>
          <w:spacing w:val="0"/>
          <w:sz w:val="32"/>
          <w:szCs w:val="32"/>
        </w:rPr>
        <w:t>为做好郑州市食盐储备工作，提高政府对食盐市场的宏观调控能力，规范和加强对政府储备食盐的管理，确保我市食盐市场安全和稳定供应，市工信局</w:t>
      </w:r>
      <w:r>
        <w:rPr>
          <w:rFonts w:hint="eastAsia" w:ascii="仿宋_GB2312" w:hAnsi="仿宋_GB2312" w:eastAsia="仿宋_GB2312" w:cs="仿宋_GB2312"/>
          <w:i w:val="0"/>
          <w:caps w:val="0"/>
          <w:color w:val="000000"/>
          <w:spacing w:val="0"/>
          <w:sz w:val="32"/>
          <w:szCs w:val="32"/>
          <w:lang w:eastAsia="zh-CN"/>
        </w:rPr>
        <w:t>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b w:val="0"/>
          <w:bCs w:val="0"/>
          <w:color w:val="auto"/>
          <w:sz w:val="32"/>
          <w:szCs w:val="32"/>
          <w:u w:val="none"/>
          <w:lang w:val="en-US" w:eastAsia="zh-CN"/>
        </w:rPr>
        <w:t>2月</w:t>
      </w:r>
      <w:r>
        <w:rPr>
          <w:rFonts w:hint="default" w:ascii="仿宋_GB2312" w:hAnsi="仿宋_GB2312" w:eastAsia="仿宋_GB2312" w:cs="仿宋_GB2312"/>
          <w:b w:val="0"/>
          <w:bCs w:val="0"/>
          <w:color w:val="auto"/>
          <w:sz w:val="32"/>
          <w:szCs w:val="32"/>
          <w:u w:val="none"/>
          <w:lang w:eastAsia="zh-CN"/>
        </w:rPr>
        <w:t>下旬</w:t>
      </w:r>
      <w:r>
        <w:rPr>
          <w:rFonts w:hint="eastAsia" w:ascii="仿宋_GB2312" w:hAnsi="仿宋_GB2312" w:eastAsia="仿宋_GB2312" w:cs="仿宋_GB2312"/>
          <w:b w:val="0"/>
          <w:bCs w:val="0"/>
          <w:color w:val="auto"/>
          <w:sz w:val="32"/>
          <w:szCs w:val="32"/>
          <w:u w:val="none"/>
          <w:lang w:val="en-US" w:eastAsia="zh-CN"/>
        </w:rPr>
        <w:t>启动了</w:t>
      </w:r>
      <w:r>
        <w:rPr>
          <w:rStyle w:val="5"/>
          <w:rFonts w:hint="eastAsia" w:ascii="仿宋" w:hAnsi="仿宋" w:eastAsia="仿宋" w:cs="仿宋"/>
          <w:b w:val="0"/>
          <w:bCs w:val="0"/>
          <w:sz w:val="32"/>
          <w:szCs w:val="32"/>
          <w:lang w:eastAsia="zh-CN"/>
        </w:rPr>
        <w:t>《管理办法》</w:t>
      </w:r>
      <w:r>
        <w:rPr>
          <w:rFonts w:hint="eastAsia" w:ascii="仿宋_GB2312" w:hAnsi="仿宋_GB2312" w:eastAsia="仿宋_GB2312" w:cs="仿宋_GB2312"/>
          <w:sz w:val="32"/>
          <w:szCs w:val="32"/>
          <w:lang w:eastAsia="zh-CN"/>
        </w:rPr>
        <w:t>的修订</w:t>
      </w:r>
      <w:r>
        <w:rPr>
          <w:rFonts w:hint="default"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在</w:t>
      </w:r>
      <w:r>
        <w:rPr>
          <w:rFonts w:hint="default" w:ascii="仿宋_GB2312" w:hAnsi="仿宋_GB2312" w:eastAsia="仿宋_GB2312" w:cs="仿宋_GB2312"/>
          <w:b w:val="0"/>
          <w:bCs w:val="0"/>
          <w:color w:val="auto"/>
          <w:sz w:val="32"/>
          <w:szCs w:val="32"/>
          <w:u w:val="none"/>
          <w:lang w:eastAsia="zh-CN"/>
        </w:rPr>
        <w:t>起草过程中</w:t>
      </w:r>
      <w:r>
        <w:rPr>
          <w:rFonts w:hint="eastAsia" w:ascii="仿宋_GB2312" w:hAnsi="仿宋_GB2312" w:eastAsia="仿宋_GB2312" w:cs="仿宋_GB2312"/>
          <w:b w:val="0"/>
          <w:bCs w:val="0"/>
          <w:color w:val="auto"/>
          <w:sz w:val="32"/>
          <w:szCs w:val="32"/>
          <w:u w:val="none"/>
          <w:lang w:val="en-US" w:eastAsia="zh-CN"/>
        </w:rPr>
        <w:t>借鉴了山东省、杭州市等地经验，结合我市实际情况，形成了初稿。</w:t>
      </w:r>
      <w:r>
        <w:rPr>
          <w:rFonts w:hint="eastAsia" w:ascii="仿宋" w:hAnsi="仿宋" w:eastAsia="仿宋"/>
          <w:sz w:val="32"/>
          <w:szCs w:val="32"/>
          <w:lang w:eastAsia="zh-CN"/>
        </w:rPr>
        <w:t>初稿完成后，进行了内部座谈研究和征求意见，然后再</w:t>
      </w:r>
      <w:bookmarkStart w:id="0" w:name="_GoBack"/>
      <w:bookmarkEnd w:id="0"/>
      <w:r>
        <w:rPr>
          <w:rFonts w:hint="eastAsia" w:ascii="仿宋" w:hAnsi="仿宋" w:eastAsia="仿宋"/>
          <w:sz w:val="32"/>
          <w:szCs w:val="32"/>
          <w:lang w:eastAsia="zh-CN"/>
        </w:rPr>
        <w:t>征求了</w:t>
      </w:r>
      <w:r>
        <w:rPr>
          <w:rFonts w:hint="eastAsia" w:ascii="仿宋_GB2312" w:hAnsi="宋体" w:eastAsia="仿宋_GB2312" w:cs="宋体"/>
          <w:spacing w:val="0"/>
          <w:kern w:val="0"/>
          <w:sz w:val="32"/>
          <w:szCs w:val="32"/>
          <w:lang w:val="en-US" w:eastAsia="zh-CN"/>
        </w:rPr>
        <w:t>市国资委、市卫健委、市财政局、市市场监督管理局、市商务局等市直相关部门单位的意见，形成了目前</w:t>
      </w:r>
      <w:r>
        <w:rPr>
          <w:rFonts w:hint="eastAsia" w:ascii="仿宋_GB2312" w:hAnsi="仿宋_GB2312" w:eastAsia="仿宋_GB2312" w:cs="仿宋_GB2312"/>
          <w:b w:val="0"/>
          <w:bCs w:val="0"/>
          <w:color w:val="auto"/>
          <w:sz w:val="32"/>
          <w:szCs w:val="32"/>
          <w:u w:val="none"/>
          <w:lang w:val="en-US" w:eastAsia="zh-CN"/>
        </w:rPr>
        <w:t>的</w:t>
      </w:r>
      <w:r>
        <w:rPr>
          <w:rFonts w:hint="default" w:ascii="仿宋_GB2312" w:hAnsi="仿宋_GB2312" w:eastAsia="仿宋_GB2312" w:cs="仿宋_GB2312"/>
          <w:b w:val="0"/>
          <w:bCs w:val="0"/>
          <w:color w:val="auto"/>
          <w:sz w:val="32"/>
          <w:szCs w:val="32"/>
          <w:u w:val="none"/>
          <w:lang w:eastAsia="zh-CN"/>
        </w:rPr>
        <w:t>征求意见稿</w:t>
      </w:r>
      <w:r>
        <w:rPr>
          <w:rFonts w:hint="eastAsia" w:ascii="仿宋_GB2312" w:hAnsi="仿宋_GB2312" w:eastAsia="仿宋_GB2312" w:cs="仿宋_GB2312"/>
          <w:b w:val="0"/>
          <w:bCs w:val="0"/>
          <w:color w:val="auto"/>
          <w:sz w:val="32"/>
          <w:szCs w:val="32"/>
          <w:u w:val="none"/>
          <w:lang w:val="en-US" w:eastAsia="zh-CN"/>
        </w:rPr>
        <w:t>。</w:t>
      </w:r>
    </w:p>
    <w:p>
      <w:pPr>
        <w:pStyle w:val="6"/>
        <w:widowControl w:val="0"/>
        <w:wordWrap/>
        <w:snapToGrid w:val="0"/>
        <w:spacing w:before="0" w:after="0" w:line="560" w:lineRule="exact"/>
        <w:ind w:left="0" w:leftChars="0" w:right="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黑体" w:hAnsi="黑体" w:eastAsia="黑体" w:cs="黑体"/>
          <w:color w:val="auto"/>
          <w:sz w:val="32"/>
          <w:szCs w:val="32"/>
          <w:lang w:val="en-US" w:eastAsia="zh-CN"/>
        </w:rPr>
        <w:t xml:space="preserve"> 四、</w:t>
      </w:r>
      <w:r>
        <w:rPr>
          <w:rFonts w:hint="eastAsia" w:ascii="黑体" w:hAnsi="黑体" w:eastAsia="黑体" w:cs="黑体"/>
          <w:color w:val="auto"/>
          <w:sz w:val="32"/>
          <w:szCs w:val="32"/>
        </w:rPr>
        <w:t>主要内容</w:t>
      </w:r>
    </w:p>
    <w:p>
      <w:pPr>
        <w:widowControl w:val="0"/>
        <w:numPr>
          <w:numId w:val="0"/>
        </w:numPr>
        <w:wordWrap/>
        <w:adjustRightInd/>
        <w:snapToGrid/>
        <w:spacing w:line="580" w:lineRule="exact"/>
        <w:ind w:firstLine="320" w:firstLineChars="100"/>
        <w:textAlignment w:val="auto"/>
        <w:rPr>
          <w:rFonts w:hint="eastAsia" w:ascii="仿宋" w:hAnsi="仿宋" w:eastAsia="仿宋"/>
          <w:sz w:val="32"/>
          <w:szCs w:val="32"/>
          <w:lang w:val="en-US" w:eastAsia="zh-CN"/>
        </w:rPr>
      </w:pPr>
      <w:r>
        <w:rPr>
          <w:rStyle w:val="5"/>
          <w:rFonts w:hint="eastAsia" w:ascii="仿宋" w:hAnsi="仿宋" w:eastAsia="仿宋" w:cs="仿宋"/>
          <w:b w:val="0"/>
          <w:bCs w:val="0"/>
          <w:sz w:val="32"/>
          <w:szCs w:val="32"/>
          <w:lang w:eastAsia="zh-CN"/>
        </w:rPr>
        <w:t>《管</w:t>
      </w:r>
      <w:r>
        <w:rPr>
          <w:rFonts w:hint="eastAsia" w:ascii="仿宋" w:hAnsi="仿宋" w:eastAsia="仿宋"/>
          <w:sz w:val="32"/>
          <w:szCs w:val="32"/>
          <w:lang w:eastAsia="zh-CN"/>
        </w:rPr>
        <w:t>理办法》正文包括总则、食盐储备的管理、食盐储备的规模和资金、食盐储备的储存、储备食盐的调用、监督检查和附则等</w:t>
      </w:r>
      <w:r>
        <w:rPr>
          <w:rFonts w:hint="eastAsia" w:ascii="仿宋" w:hAnsi="仿宋" w:eastAsia="仿宋"/>
          <w:sz w:val="32"/>
          <w:szCs w:val="32"/>
          <w:lang w:val="en-US" w:eastAsia="zh-CN"/>
        </w:rPr>
        <w:t>7章25条内容，具体如下：</w:t>
      </w:r>
    </w:p>
    <w:p>
      <w:pPr>
        <w:widowControl w:val="0"/>
        <w:numPr>
          <w:numId w:val="0"/>
        </w:numPr>
        <w:wordWrap/>
        <w:adjustRightInd/>
        <w:snapToGrid/>
        <w:spacing w:line="580" w:lineRule="exact"/>
        <w:ind w:firstLine="320" w:firstLineChars="1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（一）第1-4条</w:t>
      </w:r>
      <w:r>
        <w:rPr>
          <w:rFonts w:hint="eastAsia" w:ascii="仿宋" w:hAnsi="仿宋" w:eastAsia="仿宋"/>
          <w:sz w:val="32"/>
          <w:szCs w:val="32"/>
          <w:lang w:eastAsia="zh-CN"/>
        </w:rPr>
        <w:t>为总则部分</w:t>
      </w:r>
      <w:r>
        <w:rPr>
          <w:rFonts w:hint="eastAsia" w:ascii="仿宋" w:hAnsi="仿宋" w:eastAsia="仿宋"/>
          <w:sz w:val="32"/>
          <w:szCs w:val="32"/>
          <w:lang w:val="en-US" w:eastAsia="zh-CN"/>
        </w:rPr>
        <w:t>，明确了制定</w:t>
      </w:r>
      <w:r>
        <w:rPr>
          <w:rStyle w:val="5"/>
          <w:rFonts w:hint="eastAsia" w:ascii="仿宋" w:hAnsi="仿宋" w:eastAsia="仿宋" w:cs="仿宋"/>
          <w:b w:val="0"/>
          <w:bCs w:val="0"/>
          <w:sz w:val="32"/>
          <w:szCs w:val="32"/>
          <w:lang w:eastAsia="zh-CN"/>
        </w:rPr>
        <w:t>《管</w:t>
      </w:r>
      <w:r>
        <w:rPr>
          <w:rFonts w:hint="eastAsia" w:ascii="仿宋" w:hAnsi="仿宋" w:eastAsia="仿宋"/>
          <w:sz w:val="32"/>
          <w:szCs w:val="32"/>
          <w:lang w:eastAsia="zh-CN"/>
        </w:rPr>
        <w:t>理办法》的政策依据，食盐储备的重要性和储备原则、模式。</w:t>
      </w:r>
    </w:p>
    <w:p>
      <w:pPr>
        <w:widowControl w:val="0"/>
        <w:numPr>
          <w:numId w:val="0"/>
        </w:numPr>
        <w:wordWrap/>
        <w:adjustRightInd/>
        <w:snapToGrid/>
        <w:spacing w:line="580" w:lineRule="exact"/>
        <w:ind w:firstLine="320" w:firstLineChars="100"/>
        <w:textAlignment w:val="auto"/>
        <w:rPr>
          <w:rFonts w:hint="eastAsia" w:ascii="仿宋" w:hAnsi="仿宋" w:eastAsia="仿宋"/>
          <w:sz w:val="32"/>
          <w:szCs w:val="32"/>
          <w:lang w:eastAsia="zh-CN"/>
        </w:rPr>
      </w:pPr>
      <w:r>
        <w:rPr>
          <w:rFonts w:hint="eastAsia" w:ascii="仿宋" w:hAnsi="仿宋" w:eastAsia="仿宋"/>
          <w:sz w:val="32"/>
          <w:szCs w:val="32"/>
          <w:lang w:eastAsia="zh-CN"/>
        </w:rPr>
        <w:t>（二）第</w:t>
      </w:r>
      <w:r>
        <w:rPr>
          <w:rFonts w:hint="eastAsia" w:ascii="仿宋" w:hAnsi="仿宋" w:eastAsia="仿宋"/>
          <w:sz w:val="32"/>
          <w:szCs w:val="32"/>
          <w:lang w:val="en-US" w:eastAsia="zh-CN"/>
        </w:rPr>
        <w:t>5-7条为</w:t>
      </w:r>
      <w:r>
        <w:rPr>
          <w:rFonts w:hint="eastAsia" w:ascii="仿宋" w:hAnsi="仿宋" w:eastAsia="仿宋"/>
          <w:sz w:val="32"/>
          <w:szCs w:val="32"/>
          <w:lang w:eastAsia="zh-CN"/>
        </w:rPr>
        <w:t>食盐储备的管理部分，明确了工信局、财政局和承储企业的责任分工。</w:t>
      </w:r>
    </w:p>
    <w:p>
      <w:pPr>
        <w:numPr>
          <w:numId w:val="0"/>
        </w:numPr>
        <w:spacing w:line="560" w:lineRule="exact"/>
        <w:ind w:firstLine="320" w:firstLineChars="100"/>
        <w:rPr>
          <w:rFonts w:hint="eastAsia" w:ascii="仿宋" w:hAnsi="仿宋" w:eastAsia="仿宋"/>
          <w:sz w:val="32"/>
          <w:szCs w:val="32"/>
          <w:lang w:val="en-US" w:eastAsia="zh-CN"/>
        </w:rPr>
      </w:pPr>
      <w:r>
        <w:rPr>
          <w:rFonts w:hint="eastAsia" w:ascii="仿宋" w:hAnsi="仿宋" w:eastAsia="仿宋"/>
          <w:sz w:val="32"/>
          <w:szCs w:val="32"/>
          <w:lang w:eastAsia="zh-CN"/>
        </w:rPr>
        <w:t>（三）第</w:t>
      </w:r>
      <w:r>
        <w:rPr>
          <w:rFonts w:hint="eastAsia" w:ascii="仿宋" w:hAnsi="仿宋" w:eastAsia="仿宋"/>
          <w:sz w:val="32"/>
          <w:szCs w:val="32"/>
          <w:lang w:val="en-US" w:eastAsia="zh-CN"/>
        </w:rPr>
        <w:t>8-9条为</w:t>
      </w:r>
      <w:r>
        <w:rPr>
          <w:rFonts w:hint="eastAsia" w:ascii="仿宋" w:hAnsi="仿宋" w:eastAsia="仿宋"/>
          <w:sz w:val="32"/>
          <w:szCs w:val="32"/>
          <w:lang w:eastAsia="zh-CN"/>
        </w:rPr>
        <w:t>食盐储备的规模和资金部分，其中</w:t>
      </w:r>
      <w:r>
        <w:rPr>
          <w:rFonts w:hint="eastAsia" w:ascii="仿宋" w:hAnsi="仿宋" w:eastAsia="仿宋"/>
          <w:sz w:val="32"/>
          <w:szCs w:val="32"/>
        </w:rPr>
        <w:t>将食盐储备量指标</w:t>
      </w:r>
      <w:r>
        <w:rPr>
          <w:rFonts w:hint="eastAsia" w:ascii="仿宋" w:hAnsi="仿宋" w:eastAsia="仿宋"/>
          <w:sz w:val="32"/>
          <w:szCs w:val="32"/>
          <w:lang w:eastAsia="zh-CN"/>
        </w:rPr>
        <w:t>由</w:t>
      </w:r>
      <w:r>
        <w:rPr>
          <w:rFonts w:hint="eastAsia" w:ascii="仿宋" w:hAnsi="仿宋" w:eastAsia="仿宋"/>
          <w:sz w:val="32"/>
          <w:szCs w:val="32"/>
          <w:lang w:val="en-US" w:eastAsia="zh-CN"/>
        </w:rPr>
        <w:t>2016年省定指标8850吨增加</w:t>
      </w:r>
      <w:r>
        <w:rPr>
          <w:rFonts w:hint="eastAsia" w:ascii="仿宋" w:hAnsi="仿宋" w:eastAsia="仿宋"/>
          <w:sz w:val="32"/>
          <w:szCs w:val="32"/>
        </w:rPr>
        <w:t>为1</w:t>
      </w:r>
      <w:r>
        <w:rPr>
          <w:rFonts w:hint="eastAsia" w:ascii="仿宋" w:hAnsi="仿宋" w:eastAsia="仿宋"/>
          <w:sz w:val="32"/>
          <w:szCs w:val="32"/>
          <w:lang w:val="en-US" w:eastAsia="zh-CN"/>
        </w:rPr>
        <w:t>2000</w:t>
      </w:r>
      <w:r>
        <w:rPr>
          <w:rFonts w:hint="eastAsia" w:ascii="仿宋" w:hAnsi="仿宋" w:eastAsia="仿宋"/>
          <w:sz w:val="32"/>
          <w:szCs w:val="32"/>
        </w:rPr>
        <w:t>吨。</w:t>
      </w:r>
      <w:r>
        <w:rPr>
          <w:rFonts w:hint="eastAsia" w:ascii="仿宋" w:hAnsi="仿宋" w:eastAsia="仿宋"/>
          <w:sz w:val="32"/>
          <w:szCs w:val="32"/>
          <w:lang w:eastAsia="zh-CN"/>
        </w:rPr>
        <w:t>主要是根据</w:t>
      </w:r>
      <w:r>
        <w:rPr>
          <w:rFonts w:hint="eastAsia" w:ascii="仿宋" w:hAnsi="仿宋" w:eastAsia="仿宋"/>
          <w:sz w:val="32"/>
          <w:szCs w:val="32"/>
          <w:lang w:val="en-US" w:eastAsia="zh-CN"/>
        </w:rPr>
        <w:t>2016年郑州市的食盐月均消费量及2016年至2021年的人口增长情况，核定出目前郑州市月均消费量为：8850*（1+29.7%）=11478吨。同时，考虑到新</w:t>
      </w:r>
      <w:r>
        <w:rPr>
          <w:rFonts w:hint="eastAsia" w:ascii="仿宋" w:hAnsi="仿宋" w:eastAsia="仿宋"/>
          <w:sz w:val="32"/>
          <w:szCs w:val="32"/>
        </w:rPr>
        <w:t>冠肺炎疫情及其他突发事件和极端情况</w:t>
      </w:r>
      <w:r>
        <w:rPr>
          <w:rFonts w:hint="eastAsia" w:ascii="仿宋" w:hAnsi="仿宋" w:eastAsia="仿宋"/>
          <w:sz w:val="32"/>
          <w:szCs w:val="32"/>
          <w:lang w:eastAsia="zh-CN"/>
        </w:rPr>
        <w:t>的影响，增加</w:t>
      </w:r>
      <w:r>
        <w:rPr>
          <w:rFonts w:hint="eastAsia" w:ascii="仿宋" w:hAnsi="仿宋" w:eastAsia="仿宋"/>
          <w:sz w:val="32"/>
          <w:szCs w:val="32"/>
          <w:lang w:val="en-US" w:eastAsia="zh-CN"/>
        </w:rPr>
        <w:t>500余吨的食盐储备以备紧急情况下需求。</w:t>
      </w:r>
    </w:p>
    <w:p>
      <w:pPr>
        <w:numPr>
          <w:numId w:val="0"/>
        </w:num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政策补助资金根据</w:t>
      </w:r>
      <w:r>
        <w:rPr>
          <w:rFonts w:hint="eastAsia" w:ascii="仿宋_GB2312" w:hAnsi="仿宋" w:eastAsia="仿宋_GB2312"/>
          <w:sz w:val="32"/>
          <w:szCs w:val="32"/>
          <w:u w:val="none"/>
        </w:rPr>
        <w:t>年度的贷款贴息</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有关费用贷款利率和物价的变动，每年进行一次调整</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一年一核定。</w:t>
      </w:r>
    </w:p>
    <w:p>
      <w:pPr>
        <w:widowControl w:val="0"/>
        <w:numPr>
          <w:ilvl w:val="0"/>
          <w:numId w:val="1"/>
        </w:numPr>
        <w:wordWrap/>
        <w:adjustRightInd/>
        <w:snapToGrid/>
        <w:spacing w:line="580" w:lineRule="exact"/>
        <w:ind w:firstLine="320" w:firstLineChars="1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第10-15条为</w:t>
      </w:r>
      <w:r>
        <w:rPr>
          <w:rFonts w:hint="eastAsia" w:ascii="仿宋" w:hAnsi="仿宋" w:eastAsia="仿宋"/>
          <w:sz w:val="32"/>
          <w:szCs w:val="32"/>
          <w:lang w:eastAsia="zh-CN"/>
        </w:rPr>
        <w:t>食盐储备的储存部分，明确了承储企业主体，并对承储企业应具备的资质、职责和相关管理行为做出了明确规定。</w:t>
      </w:r>
    </w:p>
    <w:p>
      <w:pPr>
        <w:widowControl w:val="0"/>
        <w:numPr>
          <w:ilvl w:val="0"/>
          <w:numId w:val="1"/>
        </w:numPr>
        <w:wordWrap/>
        <w:adjustRightInd/>
        <w:snapToGrid/>
        <w:spacing w:line="580" w:lineRule="exact"/>
        <w:ind w:firstLine="320" w:firstLineChars="1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第16-19条为</w:t>
      </w:r>
      <w:r>
        <w:rPr>
          <w:rFonts w:hint="eastAsia" w:ascii="仿宋" w:hAnsi="仿宋" w:eastAsia="仿宋"/>
          <w:sz w:val="32"/>
          <w:szCs w:val="32"/>
          <w:lang w:eastAsia="zh-CN"/>
        </w:rPr>
        <w:t>储备食盐的调用部分，对储备食盐的调用条件、调用方案的实施和调用后及时补库方面进行了明确。</w:t>
      </w:r>
    </w:p>
    <w:p>
      <w:pPr>
        <w:widowControl w:val="0"/>
        <w:numPr>
          <w:ilvl w:val="0"/>
          <w:numId w:val="1"/>
        </w:numPr>
        <w:wordWrap/>
        <w:adjustRightInd/>
        <w:snapToGrid/>
        <w:spacing w:line="580" w:lineRule="exact"/>
        <w:ind w:firstLine="320" w:firstLineChars="1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第</w:t>
      </w:r>
      <w:r>
        <w:rPr>
          <w:rFonts w:hint="eastAsia" w:ascii="仿宋" w:hAnsi="仿宋" w:eastAsia="仿宋"/>
          <w:sz w:val="32"/>
          <w:szCs w:val="32"/>
          <w:lang w:val="en-US" w:eastAsia="zh-CN"/>
        </w:rPr>
        <w:t>20-22条为</w:t>
      </w:r>
      <w:r>
        <w:rPr>
          <w:rFonts w:hint="eastAsia" w:ascii="仿宋" w:hAnsi="仿宋" w:eastAsia="仿宋"/>
          <w:sz w:val="32"/>
          <w:szCs w:val="32"/>
          <w:lang w:eastAsia="zh-CN"/>
        </w:rPr>
        <w:t>监督指导部分，强调了市直相关部门做好日常监督管理工作，对承储企业建立相关管理制度和违反规定的行为进行了明确。</w:t>
      </w:r>
    </w:p>
    <w:p>
      <w:pPr>
        <w:widowControl w:val="0"/>
        <w:numPr>
          <w:ilvl w:val="0"/>
          <w:numId w:val="1"/>
        </w:numPr>
        <w:wordWrap/>
        <w:adjustRightInd/>
        <w:snapToGrid/>
        <w:spacing w:line="580" w:lineRule="exact"/>
        <w:ind w:firstLine="320" w:firstLineChars="1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第23-25条为附则部分，对前六部分事项进行了相关补充明确。</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Nimbus Roman No9 L">
    <w:altName w:val="Arial Unicode MS"/>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黑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00"/>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86952293">
    <w:nsid w:val="B7FF2765"/>
    <w:multiLevelType w:val="singleLevel"/>
    <w:tmpl w:val="B7FF2765"/>
    <w:lvl w:ilvl="0" w:tentative="1">
      <w:start w:val="4"/>
      <w:numFmt w:val="chineseCounting"/>
      <w:suff w:val="nothing"/>
      <w:lvlText w:val="（%1）"/>
      <w:lvlJc w:val="left"/>
      <w:rPr>
        <w:rFonts w:hint="eastAsia"/>
      </w:rPr>
    </w:lvl>
  </w:abstractNum>
  <w:num w:numId="1">
    <w:abstractNumId w:val="3086952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Char"/>
    <w:basedOn w:val="1"/>
    <w:qFormat/>
    <w:uiPriority w:val="99"/>
    <w:pPr>
      <w:adjustRightInd w:val="0"/>
      <w:snapToGrid w:val="0"/>
      <w:spacing w:beforeLines="150" w:afterLines="100" w:line="360" w:lineRule="auto"/>
      <w:ind w:firstLine="192" w:firstLineChars="192"/>
    </w:pPr>
  </w:style>
  <w:style w:type="paragraph" w:styleId="3">
    <w:name w:val="index 5"/>
    <w:basedOn w:val="1"/>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character" w:styleId="5">
    <w:name w:val="Strong"/>
    <w:basedOn w:val="4"/>
    <w:qFormat/>
    <w:uiPriority w:val="22"/>
    <w:rPr>
      <w:b/>
      <w:bCs/>
    </w:rPr>
  </w:style>
  <w:style w:type="paragraph" w:customStyle="1" w:styleId="6">
    <w:name w:val="Default"/>
    <w:next w:val="3"/>
    <w:qForma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2022-05-23T11:03:00Z</dcterms:created>
  <dc:creator>greatwall</dc:creator>
  <cp:lastModifiedBy>Administrator</cp:lastModifiedBy>
  <dcterms:modified xsi:type="dcterms:W3CDTF">2022-05-23T03:27:33Z</dcterms:modified>
  <dc:title>《郑州市食盐储备管理办法》（征求意见稿）的起草说明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