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郑州市产业研究院绩效评价办法（试行）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widowControl w:val="0"/>
        <w:wordWrap/>
        <w:spacing w:line="56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widowControl w:val="0"/>
        <w:wordWrap/>
        <w:adjustRightInd w:val="0"/>
        <w:snapToGrid w:val="0"/>
        <w:spacing w:line="560" w:lineRule="exact"/>
        <w:ind w:firstLine="620" w:firstLineChars="200"/>
        <w:textAlignment w:val="auto"/>
        <w:rPr>
          <w:rFonts w:hint="eastAsia" w:ascii="楷体_GB2312" w:hAnsi="方正楷体_GBK" w:eastAsia="楷体_GB2312" w:cs="楷体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firstLine="62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第一条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为规范和加强郑州市产业研究院（以下简称研究院）建设发展，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科学评价研究院运行成果，提高财政资金使用绩效，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根据《郑州市产业研究院管理办法》（郑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号），制定本办法。</w:t>
      </w:r>
    </w:p>
    <w:p>
      <w:pPr>
        <w:pStyle w:val="3"/>
        <w:widowControl w:val="0"/>
        <w:wordWrap/>
        <w:spacing w:before="0" w:after="0" w:line="560" w:lineRule="exact"/>
        <w:ind w:firstLine="642"/>
        <w:textAlignment w:val="auto"/>
        <w:rPr>
          <w:rFonts w:ascii="仿宋_GB2312" w:hAnsi="仿宋_GB2312" w:eastAsia="仿宋_GB2312" w:cs="Times New Roman"/>
          <w:b w:val="0"/>
          <w:bCs w:val="0"/>
          <w:sz w:val="32"/>
          <w:szCs w:val="32"/>
        </w:rPr>
      </w:pPr>
      <w:r>
        <w:rPr>
          <w:rFonts w:hint="eastAsia" w:ascii="楷体_GB2312" w:hAnsi="方正楷体_GBK" w:eastAsia="楷体_GB2312" w:cs="楷体_GB2312"/>
          <w:b w:val="0"/>
          <w:bCs w:val="0"/>
          <w:sz w:val="32"/>
          <w:szCs w:val="32"/>
        </w:rPr>
        <w:t>第二条</w:t>
      </w:r>
      <w:r>
        <w:rPr>
          <w:rFonts w:ascii="方正楷体_GBK" w:hAnsi="方正楷体_GBK" w:eastAsia="方正楷体_GBK" w:cs="方正楷体_GBK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市工信局联合市财政局开展研究院绩效评价，市工信局负责评价的组织实施，市财政局根据评价结果予以资金支持。</w:t>
      </w:r>
    </w:p>
    <w:p>
      <w:pPr>
        <w:pStyle w:val="3"/>
        <w:widowControl w:val="0"/>
        <w:wordWrap/>
        <w:spacing w:before="0" w:after="0" w:line="560" w:lineRule="exact"/>
        <w:ind w:firstLine="642"/>
        <w:textAlignment w:val="auto"/>
        <w:rPr>
          <w:rFonts w:ascii="仿宋_GB2312" w:hAnsi="仿宋_GB2312" w:eastAsia="仿宋_GB2312" w:cs="Times New Roman"/>
          <w:b w:val="0"/>
          <w:bCs w:val="0"/>
          <w:sz w:val="32"/>
          <w:szCs w:val="32"/>
        </w:rPr>
      </w:pPr>
    </w:p>
    <w:p>
      <w:pPr>
        <w:widowControl w:val="0"/>
        <w:numPr>
          <w:ilvl w:val="0"/>
          <w:numId w:val="1"/>
        </w:numPr>
        <w:wordWrap/>
        <w:spacing w:line="56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评价内容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hint="eastAsia" w:ascii="楷体_GB2312" w:hAnsi="方正楷体_GBK" w:eastAsia="楷体_GB2312" w:cs="楷体_GB2312"/>
          <w:sz w:val="32"/>
          <w:szCs w:val="32"/>
        </w:rPr>
      </w:pP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第三条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评价内容主要包括以下几个方面：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（一）体制机制，主要是指研究院组织架构、内部决策、财务管理、人事管理、科研管理等方面制度建设；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（二）人才队伍建设，主要是引进的国内外领军人才、博士以上学历或高级职称以上等高端人才引进情况，全职研发人员占比、硕士以上研究生规模等情况；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（三）科研投入，主要是场地设施、实验室等建设进展，科研仪器、测试设备等资金投入及到位情况；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（四）产学研活动，主要是指研究院承担的国家、省部、市级以上的纵向科研项目和内部组织实施的相关科研项目，以及同高校、科研院所、企业、新型研发机构等企事业单位联合开展的产学研活动；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（五）成果产出，主要是指以研究院为主体在科学研究、技术开发和应用中取得的新技术、新工艺、新产品、新材料、新设备，评价年度授权专利、软件著作权、各级标准</w:t>
      </w:r>
      <w:r>
        <w:rPr>
          <w:rFonts w:hint="default" w:ascii="Times New Roman" w:hAnsi="Times New Roman" w:eastAsia="仿宋_GB2312" w:cs="仿宋_GB2312"/>
          <w:sz w:val="32"/>
          <w:szCs w:val="32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</w:rPr>
        <w:t>软科学成果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等科技成果产出数量；</w:t>
      </w:r>
    </w:p>
    <w:p>
      <w:pPr>
        <w:pStyle w:val="3"/>
        <w:widowControl w:val="0"/>
        <w:wordWrap/>
        <w:spacing w:before="0" w:after="0" w:line="560" w:lineRule="exact"/>
        <w:ind w:firstLine="642"/>
        <w:textAlignment w:val="auto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（六）成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果转化，主要是科技成果产出后在郑州市产业化情况，包括新技术、新工艺、新产品、新材料、新设备应用及销售额，发表论文或专著、授权专利、开发的新软件等科技成果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</w:rPr>
        <w:t>转化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中可量化的产值情况，有效考核期限为成果转化的两个年度；</w:t>
      </w:r>
    </w:p>
    <w:p>
      <w:pPr>
        <w:pStyle w:val="3"/>
        <w:widowControl w:val="0"/>
        <w:wordWrap/>
        <w:spacing w:before="0" w:after="0" w:line="560" w:lineRule="exact"/>
        <w:ind w:firstLine="642"/>
        <w:textAlignment w:val="auto"/>
        <w:rPr>
          <w:rFonts w:ascii="仿宋_GB2312" w:hAnsi="仿宋_GB2312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（七）行业报告，围绕研究院所在行业发展情况，撰写年度产业细分领域发展研究报告情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况；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（八）加分项，主要是获得国家、省部、市级各类科技奖励、奖项，以及产业研究院获批国家级、省部级、市级科研平台情况。</w:t>
      </w:r>
    </w:p>
    <w:p>
      <w:pPr>
        <w:widowControl w:val="0"/>
        <w:wordWrap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</w:p>
    <w:p>
      <w:pPr>
        <w:widowControl w:val="0"/>
        <w:wordWrap/>
        <w:spacing w:line="56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组织实施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hint="eastAsia" w:ascii="楷体_GB2312" w:hAnsi="方正楷体_GBK" w:eastAsia="楷体_GB2312" w:cs="楷体_GB2312"/>
          <w:sz w:val="32"/>
          <w:szCs w:val="32"/>
        </w:rPr>
      </w:pP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第四条</w:t>
      </w:r>
      <w:r>
        <w:rPr>
          <w:rFonts w:ascii="楷体_GB2312" w:hAnsi="方正楷体_GBK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研究院绩效评价原则上每年进行一次，首次评价期自组建之日至次年年底。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方正楷体_GBK" w:hAnsi="方正楷体_GBK" w:eastAsia="方正楷体_GBK" w:cs="Times New Roman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第五条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市工信局组织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评审专家</w:t>
      </w:r>
      <w:r>
        <w:rPr>
          <w:rFonts w:hint="default" w:ascii="仿宋_GB2312" w:hAnsi="仿宋_GB2312" w:eastAsia="仿宋_GB2312" w:cs="仿宋_GB2312"/>
          <w:sz w:val="32"/>
          <w:szCs w:val="32"/>
        </w:rPr>
        <w:t>开展绩效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hint="default" w:ascii="仿宋_GB2312" w:hAnsi="仿宋_GB2312" w:eastAsia="仿宋_GB2312" w:cs="仿宋_GB2312"/>
          <w:sz w:val="32"/>
          <w:szCs w:val="32"/>
        </w:rPr>
        <w:t>工作，结合报送材料及现场核查情况确定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评价结果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经上会、公示等程序后发布。</w:t>
      </w:r>
    </w:p>
    <w:p>
      <w:pPr>
        <w:widowControl w:val="0"/>
        <w:wordWrap/>
        <w:spacing w:line="560" w:lineRule="exact"/>
        <w:ind w:firstLine="62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第六条</w:t>
      </w:r>
      <w:r>
        <w:rPr>
          <w:rFonts w:ascii="楷体_GB2312" w:hAnsi="方正楷体_GBK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绩效评价结果分为优秀、良好、合格、不合格四个层次，其中：综合得分</w:t>
      </w:r>
      <w:r>
        <w:rPr>
          <w:rFonts w:ascii="仿宋_GB2312" w:hAnsi="仿宋_GB2312" w:eastAsia="仿宋_GB2312" w:cs="仿宋_GB2312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分（含）以上的为优秀，</w:t>
      </w:r>
      <w:r>
        <w:rPr>
          <w:rFonts w:ascii="仿宋_GB2312" w:hAnsi="仿宋_GB2312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分（含）</w:t>
      </w:r>
      <w:r>
        <w:rPr>
          <w:rFonts w:ascii="仿宋_GB2312" w:hAnsi="仿宋_GB2312" w:eastAsia="仿宋_GB2312" w:cs="仿宋_GB2312"/>
          <w:sz w:val="32"/>
          <w:szCs w:val="32"/>
        </w:rPr>
        <w:t>-85</w:t>
      </w:r>
      <w:r>
        <w:rPr>
          <w:rFonts w:hint="eastAsia" w:ascii="仿宋_GB2312" w:hAnsi="仿宋_GB2312" w:eastAsia="仿宋_GB2312" w:cs="仿宋_GB2312"/>
          <w:sz w:val="32"/>
          <w:szCs w:val="32"/>
        </w:rPr>
        <w:t>分的为良好，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分（含）</w:t>
      </w:r>
      <w:r>
        <w:rPr>
          <w:rFonts w:ascii="仿宋_GB2312" w:hAnsi="仿宋_GB2312" w:eastAsia="仿宋_GB2312" w:cs="仿宋_GB2312"/>
          <w:sz w:val="32"/>
          <w:szCs w:val="32"/>
        </w:rPr>
        <w:t>-69</w:t>
      </w:r>
      <w:r>
        <w:rPr>
          <w:rFonts w:hint="eastAsia" w:ascii="仿宋_GB2312" w:hAnsi="仿宋_GB2312" w:eastAsia="仿宋_GB2312" w:cs="仿宋_GB2312"/>
          <w:sz w:val="32"/>
          <w:szCs w:val="32"/>
        </w:rPr>
        <w:t>分的为合格，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分以下为不合格。研究院在绩效评价年度内无正当理由不参加绩效评价的，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default" w:ascii="仿宋_GB2312" w:hAnsi="仿宋_GB2312" w:eastAsia="仿宋_GB2312" w:cs="仿宋_GB2312"/>
          <w:sz w:val="32"/>
          <w:szCs w:val="32"/>
        </w:rPr>
        <w:t>在质量、诚信、安全、环保等方面有违法行为或不良记录的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直接为不合格。</w:t>
      </w:r>
    </w:p>
    <w:p>
      <w:pPr>
        <w:widowControl w:val="0"/>
        <w:wordWrap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</w:p>
    <w:p>
      <w:pPr>
        <w:widowControl w:val="0"/>
        <w:wordWrap/>
        <w:spacing w:line="56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结果运用</w:t>
      </w:r>
    </w:p>
    <w:p>
      <w:pPr>
        <w:pStyle w:val="2"/>
        <w:widowControl w:val="0"/>
        <w:wordWrap/>
        <w:spacing w:beforeLines="0" w:line="560" w:lineRule="exact"/>
        <w:ind w:firstLine="31680"/>
        <w:textAlignment w:val="auto"/>
        <w:rPr>
          <w:rFonts w:hint="eastAsia" w:ascii="楷体_GB2312" w:hAnsi="方正楷体_GBK" w:eastAsia="楷体_GB2312" w:cs="楷体_GB2312"/>
          <w:sz w:val="32"/>
          <w:szCs w:val="32"/>
        </w:rPr>
      </w:pPr>
    </w:p>
    <w:p>
      <w:pPr>
        <w:pStyle w:val="2"/>
        <w:widowControl w:val="0"/>
        <w:wordWrap/>
        <w:spacing w:beforeLines="0" w:line="560" w:lineRule="exact"/>
        <w:ind w:firstLine="3168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第七条</w:t>
      </w:r>
      <w:r>
        <w:rPr>
          <w:rFonts w:ascii="楷体_GB2312" w:hAnsi="方正楷体_GBK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绩效评价前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年，按照年度考核得分予以资金支持，自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分（含）始，支持</w:t>
      </w:r>
      <w:r>
        <w:rPr>
          <w:rFonts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万元，每增加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分，支持资金增加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万元，封顶</w:t>
      </w:r>
      <w:r>
        <w:rPr>
          <w:rFonts w:ascii="仿宋_GB2312" w:hAnsi="仿宋_GB2312" w:eastAsia="仿宋_GB2312" w:cs="仿宋_GB23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年以后，对考核优秀单位，每年给予</w:t>
      </w:r>
      <w:r>
        <w:rPr>
          <w:rFonts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万元奖励。</w:t>
      </w:r>
    </w:p>
    <w:p>
      <w:pPr>
        <w:pStyle w:val="2"/>
        <w:widowControl w:val="0"/>
        <w:wordWrap/>
        <w:spacing w:beforeLines="0" w:line="560" w:lineRule="exact"/>
        <w:ind w:firstLine="31680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</w:p>
    <w:p>
      <w:pPr>
        <w:pStyle w:val="2"/>
        <w:widowControl w:val="0"/>
        <w:wordWrap/>
        <w:spacing w:beforeLines="0" w:line="560" w:lineRule="exact"/>
        <w:ind w:firstLine="0" w:firstLineChars="0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附则</w:t>
      </w:r>
    </w:p>
    <w:p>
      <w:pPr>
        <w:pStyle w:val="2"/>
        <w:widowControl w:val="0"/>
        <w:wordWrap/>
        <w:spacing w:beforeLines="0" w:line="560" w:lineRule="exact"/>
        <w:ind w:firstLine="31680"/>
        <w:textAlignment w:val="auto"/>
        <w:rPr>
          <w:rFonts w:hint="eastAsia" w:ascii="楷体_GB2312" w:hAnsi="方正楷体_GBK" w:eastAsia="楷体_GB2312" w:cs="楷体_GB2312"/>
          <w:sz w:val="32"/>
          <w:szCs w:val="32"/>
        </w:rPr>
      </w:pPr>
    </w:p>
    <w:p>
      <w:pPr>
        <w:pStyle w:val="2"/>
        <w:widowControl w:val="0"/>
        <w:wordWrap/>
        <w:spacing w:beforeLines="0" w:line="560" w:lineRule="exact"/>
        <w:ind w:firstLine="3168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方正楷体_GBK" w:eastAsia="楷体_GB2312" w:cs="楷体_GB2312"/>
          <w:sz w:val="32"/>
          <w:szCs w:val="32"/>
        </w:rPr>
        <w:t>第八条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本办法由郑州市工信局负责解释，自发布之日起试行。</w:t>
      </w:r>
    </w:p>
    <w:sectPr>
      <w:footerReference r:id="rId4" w:type="default"/>
      <w:pgSz w:w="11906" w:h="16838"/>
      <w:pgMar w:top="2098" w:right="1531" w:bottom="2041" w:left="1588" w:header="851" w:footer="1418" w:gutter="0"/>
      <w:cols w:space="720" w:num="1"/>
      <w:docGrid w:type="linesAndChars" w:linePitch="577" w:charSpace="-2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楷体_GB2312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13014956">
    <w:nsid w:val="7DF20CAC"/>
    <w:multiLevelType w:val="singleLevel"/>
    <w:tmpl w:val="7DF20CAC"/>
    <w:lvl w:ilvl="0" w:tentative="1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1130149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0"/>
  <w:drawingGridVerticalSpacing w:val="577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styleId="3">
    <w:name w:val="Body Text First Indent"/>
    <w:basedOn w:val="4"/>
    <w:link w:val="11"/>
    <w:qFormat/>
    <w:uiPriority w:val="99"/>
    <w:pPr>
      <w:spacing w:before="40" w:after="40"/>
      <w:ind w:firstLine="420"/>
    </w:pPr>
    <w:rPr>
      <w:b/>
      <w:bCs/>
    </w:rPr>
  </w:style>
  <w:style w:type="paragraph" w:styleId="4">
    <w:name w:val="Body Text"/>
    <w:basedOn w:val="1"/>
    <w:link w:val="10"/>
    <w:qFormat/>
    <w:uiPriority w:val="99"/>
    <w:pPr>
      <w:spacing w:after="12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/>
  </w:style>
  <w:style w:type="character" w:customStyle="1" w:styleId="10">
    <w:name w:val="Body Text Char Char"/>
    <w:basedOn w:val="8"/>
    <w:link w:val="4"/>
    <w:uiPriority w:val="99"/>
    <w:rPr>
      <w:sz w:val="21"/>
      <w:szCs w:val="21"/>
    </w:rPr>
  </w:style>
  <w:style w:type="character" w:customStyle="1" w:styleId="11">
    <w:name w:val="Body Text First Indent Char Char"/>
    <w:basedOn w:val="10"/>
    <w:link w:val="3"/>
    <w:uiPriority w:val="99"/>
    <w:rPr/>
  </w:style>
  <w:style w:type="character" w:customStyle="1" w:styleId="12">
    <w:name w:val="Footer Char"/>
    <w:basedOn w:val="8"/>
    <w:link w:val="5"/>
    <w:uiPriority w:val="99"/>
    <w:rPr>
      <w:sz w:val="18"/>
      <w:szCs w:val="18"/>
    </w:rPr>
  </w:style>
  <w:style w:type="character" w:customStyle="1" w:styleId="13">
    <w:name w:val="Header Char"/>
    <w:basedOn w:val="8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3</Pages>
  <Words>174</Words>
  <Characters>994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2022-04-18T01:50:00Z</dcterms:created>
  <dc:creator>greatwall</dc:creator>
  <cp:lastModifiedBy>Administrator</cp:lastModifiedBy>
  <cp:lastPrinted>2022-04-25T23:54:00Z</cp:lastPrinted>
  <dcterms:modified xsi:type="dcterms:W3CDTF">2022-05-16T01:39:48Z</dcterms:modified>
  <dc:title>郑州市产业研究院绩效评价办法（试行）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