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ascii="方正小标宋简体" w:hAnsi="黑体" w:eastAsia="方正小标宋简体" w:cs="方正小标宋简体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关于持续推进工业企业分类综合评价</w:t>
      </w:r>
    </w:p>
    <w:p>
      <w:pPr>
        <w:spacing w:line="580" w:lineRule="exact"/>
        <w:jc w:val="center"/>
        <w:rPr>
          <w:rFonts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优化要素配置的若干措施</w:t>
      </w:r>
    </w:p>
    <w:p>
      <w:pPr>
        <w:spacing w:line="580" w:lineRule="exact"/>
        <w:jc w:val="center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（征求意见稿）</w:t>
      </w:r>
    </w:p>
    <w:p>
      <w:pPr>
        <w:spacing w:line="580" w:lineRule="exact"/>
        <w:rPr>
          <w:rFonts w:ascii="仿宋_GB2312" w:eastAsia="仿宋_GB2312" w:cs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为持续推进工业企业“亩均论英雄”综合评价，进一步优化资源要素配置，推动企业转型升级，促进制造业高质量发展，经研究，特制定如下政策措施。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一、完善差别化用地政策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落实《关于试行“标准地”出让制度的实施意见》（郑政〔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号）、《关于优化产业用地管理促进产业高质量发展的指导意见》（郑办〔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号）、《关于新型工业用地管理的实施意见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》（郑政〔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号）等文件精神，优先保障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类企业用地需求，限制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类企业用地需求。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对于需要新增用地的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类企业，在年度土地利用计划指标中优先安排，耕地占补平衡指标优先协调落实；对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类企业用地要采用本辖区内同类工业用地最低出让竞买保证金、最低合同履约保证金。对于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类企业不再新增工业用地，但鼓励企业依照相关政策对现有土地实施盘活利用。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企业在缴纳城镇土地使用税时，根据所在开发区、区县（市）城镇土地使用税的从高到低划分等级征收标准，亩均税收在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类企业降低一级标准缴纳，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类企业正常缴纳，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类企业提高一级标准缴纳，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类企业按所在辖区最高等级标准缴纳。相关政策在省政府批准之前，以先征后返（补）的方式缴纳。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责任单位：各开发区管委会、区县（市）政府，市资源规划局、市发展改革委、市工信局、市税务局、航空港实验区税务局、省税务局第三分局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二、完善差别化用能机制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优先支持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类企业参与电力直接交易试点；限制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类企业参与电力直接交易试点；对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类企业实行负面清单管理，严控其参与电力直接交易试点。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需实施有序用电时，按照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类的顺序实施梯次错避峰、轮休、停限电等让电措施。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优先保障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类企业的用气需要；对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类企业，在本辖区正常供气价格基础上每立方米加价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责任单位：各开发区管委会、区县（市）政府，市发展改革委、市财政局、市工信局、市供电公司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三、完善差别化用水机制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参照《郑州市城镇非居民用水超定额累进加价实施办法》（郑发改公用〔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号）文件精神，依法依规实施差别水价政策。在核定重点用水单位年度用水定额量时，各开发区、区县（市）可根据情况适度提高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类企业年度用水定额量，降低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类企业年度用水定额量。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各开发区、区县（市）要结合本地实际，在现有用水超定额累进加价相关政策基础上，对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类企业实行更严格的水价政策。采用城乡公共供水的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类企业，用水量超出定额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（含）以内部分，按现行水价加价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倍；超过用水定额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以上部分，按现行水价加价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倍。对于采用自备水源取水的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类企业，各开发区、区县（市）要参照以上标准，制定具体差别化水价政策。对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类企业超定额加价所收费用要专款专用，可对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类中节水先进的企业进行奖励。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责任单位：各开发区管委会、区县（市）政府，市发展改革委、市财政局、市自来水公司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四、完善差别化环保管控政策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楷体_GB2312" w:eastAsia="仿宋_GB2312" w:cs="仿宋_GB2312"/>
          <w:color w:val="auto"/>
          <w:kern w:val="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根据国家、省重点行业绩效分级实施办法，结合“亩均论英雄”评级结果，鼓励、引导、支持“亩均论英雄”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级企业申报绩效分级。在重污染天气预警期间，根据重污染天气重点行业绩效分级结果，环保绩效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级或绩效引领性、绩效先进性企业豁免管控，环保绩效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级企业实施差异化管控，环保绩效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级企业实行正常管控，环保绩效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级企业从严管控。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责任单位：各开发区管委会、区县（市）政府，市生态环境局、市工信局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五、完善差别化排污机制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切实落实政府年度目标任务，各级政府应按照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类企业顺序严格管理。各开发区、区县（市），要在确保完成年度减排总目标的前提下，适度降低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类企业的减排任务，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适度提高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类企业的减排任务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参照《郑州市建立和推行差别化污水处理收费机制实施方案》（郑发改公用〔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752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号）文件精神，实行差别化污水处理收费机制。在落实污水排放分档累进收费标准时，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类企业排放主要污染物超基准值的，原则上按每档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以上的标准加收：高于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的，在现行污水处理费标准基础上分别加收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；高于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的，分别加收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25%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；高于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的，分别加收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35%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40%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责任单位：各开发区管委会、区县（市）政府，市生态环境局、市财政局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六、完善差别化财政政策</w:t>
      </w:r>
    </w:p>
    <w:p>
      <w:pPr>
        <w:spacing w:line="580" w:lineRule="exact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建立健全财政扶持政策与综合评价结果挂钩的联动机制。优先支持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类企业申报各类试点示范项目，优先推荐各级各类财政政策。鼓励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类企业创建各级各类试点示范项目、申报各级各类财政政策。</w:t>
      </w:r>
      <w:r>
        <w:rPr>
          <w:rFonts w:asci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类企业除科技创新、质量提升、智能化、绿色化等改造提升类政策外，不支持申报其他各级各类财政政策。</w:t>
      </w:r>
      <w:r>
        <w:rPr>
          <w:rFonts w:ascii="仿宋_GB2312" w:eastAsia="仿宋_GB2312" w:cs="仿宋_GB2312"/>
          <w:color w:val="auto"/>
          <w:sz w:val="32"/>
          <w:szCs w:val="32"/>
        </w:rPr>
        <w:t>D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类企业除科技创新政策外不支持申报各级各类财政政策等。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责任单位：各开发区管委会、区县（市）政府，市工信局、市发展改革委、市财政局、市科技局、市市场监管局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七、完善差别化信贷政策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依托郑州市公共信用信息平台、中原中小企业成长指数平台等资源，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指导金融机构信贷活动充分参考利用综合评价结果。对符合政策条件的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类企业，金融机构要在贷款准入、还款方式和利率优惠等方面给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予支持；对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类企业，限制新上同业产能项目，项目核准备案审慎性参考，严格控制单纯扩大产能项目贷款。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责任单位：各开发区管委会、区县（市）政府，市金融局、市发展改革委、市工信局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本政策措施自发布之日起施行，由市“亩均论英雄”综合评价工作领导小组办公室负责解释。</w:t>
      </w: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jc w:val="left"/>
        <w:rPr>
          <w:rFonts w:ascii="楷体_GB2312" w:hAnsi="楷体_GB2312" w:eastAsia="楷体_GB2312" w:cs="楷体_GB2312"/>
          <w:color w:val="auto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_x0000_s102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rPr>
                    <w:rFonts w:hint="eastAsia"/>
                  </w:rPr>
                  <w:instrText xml:space="preserve">PAGE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_x0000_s1027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rPr>
                    <w:rFonts w:hint="eastAsia"/>
                  </w:rPr>
                  <w:instrText xml:space="preserve">PAGE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-</w:t>
                </w:r>
                <w:r>
                  <w:t xml:space="preserve"> 6 -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宋体" w:cs="黑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sz w:val="18"/>
      <w:szCs w:val="18"/>
    </w:rPr>
  </w:style>
  <w:style w:type="character" w:customStyle="1" w:styleId="7">
    <w:name w:val="页眉 Char Char"/>
    <w:basedOn w:val="6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335</Words>
  <Characters>1911</Characters>
  <Lines>15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2021-04-16T03:01:00Z</dcterms:created>
  <dc:creator>Administrator</dc:creator>
  <cp:lastModifiedBy>Administrator</cp:lastModifiedBy>
  <cp:lastPrinted>2021-04-28T07:00:00Z</cp:lastPrinted>
  <dcterms:modified xsi:type="dcterms:W3CDTF">2021-05-19T08:44:44Z</dcterms:modified>
  <dc:title>关于持续推进工业企业分类综合评价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