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郑州市电解铝行业企业能耗限额标准达标情况汇总表</w:t>
      </w:r>
    </w:p>
    <w:p>
      <w:pPr>
        <w:snapToGrid w:val="0"/>
        <w:spacing w:line="360" w:lineRule="auto"/>
        <w:ind w:right="420" w:firstLine="1200" w:firstLineChars="6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黑体"/>
          <w:kern w:val="0"/>
        </w:rPr>
        <w:t xml:space="preserve">                                                                                          </w:t>
      </w:r>
      <w:r>
        <w:rPr>
          <w:rFonts w:hint="eastAsia" w:ascii="仿宋" w:hAnsi="仿宋" w:eastAsia="仿宋"/>
          <w:szCs w:val="21"/>
        </w:rPr>
        <w:t>统计年度：</w:t>
      </w:r>
      <w:r>
        <w:rPr>
          <w:rFonts w:hint="eastAsia" w:ascii="仿宋" w:hAnsi="仿宋" w:eastAsia="仿宋"/>
          <w:szCs w:val="21"/>
          <w:lang w:eastAsia="zh-CN"/>
        </w:rPr>
        <w:t>2022</w:t>
      </w:r>
      <w:r>
        <w:rPr>
          <w:rFonts w:hint="eastAsia" w:ascii="仿宋" w:hAnsi="仿宋" w:eastAsia="仿宋"/>
          <w:szCs w:val="21"/>
        </w:rPr>
        <w:t>年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795"/>
        <w:gridCol w:w="1028"/>
        <w:gridCol w:w="1028"/>
        <w:gridCol w:w="1347"/>
        <w:gridCol w:w="1220"/>
        <w:gridCol w:w="772"/>
        <w:gridCol w:w="1220"/>
        <w:gridCol w:w="772"/>
        <w:gridCol w:w="833"/>
        <w:gridCol w:w="833"/>
        <w:gridCol w:w="772"/>
        <w:gridCol w:w="7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68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铝液年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(万t)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铝锭年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(万t)</w:t>
            </w:r>
          </w:p>
        </w:tc>
        <w:tc>
          <w:tcPr>
            <w:tcW w:w="51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铝液电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解年用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(万kwh)</w:t>
            </w:r>
          </w:p>
        </w:tc>
        <w:tc>
          <w:tcPr>
            <w:tcW w:w="2733" w:type="pct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铝液交流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（kwh/t）</w:t>
            </w:r>
          </w:p>
        </w:tc>
        <w:tc>
          <w:tcPr>
            <w:tcW w:w="756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铝液综合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交流电耗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（kwh/t）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铝锭综合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交流电耗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kW·h</w:t>
            </w:r>
            <w:r>
              <w:rPr>
                <w:rFonts w:hint="eastAsia" w:ascii="仿宋" w:hAnsi="仿宋" w:eastAsia="仿宋"/>
                <w:szCs w:val="21"/>
              </w:rPr>
              <w:t>/t）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铝锭综合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能源单耗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kgce</w:t>
            </w:r>
            <w:r>
              <w:rPr>
                <w:rFonts w:hint="eastAsia" w:ascii="仿宋" w:hAnsi="仿宋" w:eastAsia="仿宋"/>
                <w:szCs w:val="21"/>
              </w:rPr>
              <w:t>/t）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  <w:tc>
          <w:tcPr>
            <w:tcW w:w="46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  <w:tc>
          <w:tcPr>
            <w:tcW w:w="316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316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河南中孚铝业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22.99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309063.73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13195.09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463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13442.86</w:t>
            </w:r>
          </w:p>
        </w:tc>
        <w:tc>
          <w:tcPr>
            <w:tcW w:w="293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</w:t>
            </w: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93" w:type="pct"/>
            <w:vAlign w:val="center"/>
          </w:tcPr>
          <w:p>
            <w:pPr>
              <w:spacing w:beforeLines="50" w:afterLines="50" w:line="240" w:lineRule="auto"/>
              <w:jc w:val="center"/>
              <w:outlineLvl w:val="2"/>
              <w:rPr>
                <w:rFonts w:ascii="仿宋" w:hAnsi="仿宋" w:eastAsia="仿宋" w:cs="华文仿宋"/>
                <w:szCs w:val="21"/>
              </w:rPr>
            </w:pPr>
            <w:r>
              <w:rPr>
                <w:rFonts w:hint="eastAsia" w:ascii="仿宋" w:hAnsi="仿宋" w:eastAsia="仿宋" w:cs="华文仿宋"/>
                <w:szCs w:val="21"/>
              </w:rPr>
              <w:t>合计</w:t>
            </w:r>
          </w:p>
        </w:tc>
        <w:tc>
          <w:tcPr>
            <w:tcW w:w="68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仿宋"/>
                <w:kern w:val="0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22.99</w:t>
            </w:r>
          </w:p>
        </w:tc>
        <w:tc>
          <w:tcPr>
            <w:tcW w:w="390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仿宋"/>
                <w:kern w:val="0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Times New Roman" w:hAnsi="Times New Roman" w:eastAsia="仿宋"/>
                <w:kern w:val="0"/>
              </w:rPr>
            </w:pPr>
            <w:r>
              <w:rPr>
                <w:rFonts w:hint="eastAsia" w:ascii="Times New Roman" w:hAnsi="Times New Roman" w:eastAsia="仿宋"/>
                <w:kern w:val="0"/>
                <w:lang w:val="en-US" w:eastAsia="zh-CN"/>
              </w:rPr>
              <w:t>309063.73</w:t>
            </w:r>
          </w:p>
        </w:tc>
        <w:tc>
          <w:tcPr>
            <w:tcW w:w="46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46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31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  <w:tc>
          <w:tcPr>
            <w:tcW w:w="29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-</w:t>
            </w:r>
          </w:p>
        </w:tc>
      </w:tr>
    </w:tbl>
    <w:p>
      <w:pPr>
        <w:widowControl/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微软雅黑" w:hAnsi="微软雅黑" w:eastAsia="微软雅黑"/>
          <w:b w:val="0"/>
          <w:i w:val="0"/>
          <w:color w:val="333333"/>
          <w:sz w:val="33"/>
          <w:shd w:val="clear" w:color="auto" w:fill="FFFFFF"/>
          <w:lang w:eastAsia="zh-CN"/>
        </w:rPr>
      </w:pPr>
      <w:bookmarkStart w:id="0" w:name="_GoBack"/>
      <w:bookmarkEnd w:id="0"/>
    </w:p>
    <w:sectPr>
      <w:pgSz w:w="15840" w:h="12240" w:orient="landscape"/>
      <w:pgMar w:top="1803" w:right="1440" w:bottom="1803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F4240"/>
    <w:rsid w:val="3BFB7F77"/>
    <w:rsid w:val="45FF666B"/>
    <w:rsid w:val="56FFA5FC"/>
    <w:rsid w:val="59F52EBF"/>
    <w:rsid w:val="77E99789"/>
    <w:rsid w:val="7FFB99B6"/>
    <w:rsid w:val="7FFC4F4B"/>
    <w:rsid w:val="9F9EF4D9"/>
    <w:rsid w:val="9FFB9172"/>
    <w:rsid w:val="BFF2E1AF"/>
    <w:rsid w:val="DFFD75B2"/>
    <w:rsid w:val="EBFFD991"/>
    <w:rsid w:val="EDFF9C77"/>
    <w:rsid w:val="F3AA9904"/>
    <w:rsid w:val="F3DFED12"/>
    <w:rsid w:val="F9BED784"/>
    <w:rsid w:val="FF7F6F66"/>
    <w:rsid w:val="FFCCE168"/>
    <w:rsid w:val="FFFFF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2021-05-21T07:08:00Z</dcterms:created>
  <dc:creator>greatwall</dc:creator>
  <cp:lastModifiedBy>greatwall</cp:lastModifiedBy>
  <cp:lastPrinted>2023-04-24T03:18:00Z</cp:lastPrinted>
  <dcterms:modified xsi:type="dcterms:W3CDTF">2023-04-24T14:17:56Z</dcterms:modified>
  <dc:title>关于郑州市2021年能耗专项监察结果的公示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